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39E" w:rsidRDefault="00347448">
      <w:pPr>
        <w:jc w:val="center"/>
      </w:pPr>
      <w:bookmarkStart w:id="0" w:name="_GoBack"/>
      <w:bookmarkEnd w:id="0"/>
      <w:r>
        <w:rPr>
          <w:b/>
          <w:sz w:val="28"/>
        </w:rPr>
        <w:t>Техническая спецификация закупаемых товаров</w:t>
      </w:r>
    </w:p>
    <w:p w:rsidR="003D439E" w:rsidRDefault="003D439E">
      <w:pPr>
        <w:jc w:val="center"/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923"/>
        <w:gridCol w:w="7267"/>
      </w:tblGrid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t>Вид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закупки</w:t>
            </w:r>
            <w:proofErr w:type="spellEnd"/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Закуп товаров с сопутствующими работами по монтажу, </w:t>
            </w:r>
            <w:proofErr w:type="spellStart"/>
            <w:r w:rsidRPr="00350C33">
              <w:rPr>
                <w:lang w:val="ru-RU"/>
              </w:rPr>
              <w:t>пусконаладке</w:t>
            </w:r>
            <w:proofErr w:type="spellEnd"/>
            <w:r w:rsidRPr="00350C33">
              <w:rPr>
                <w:lang w:val="ru-RU"/>
              </w:rPr>
              <w:t>, настройке и вводу в эксплуатацию.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t>Структурное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подразделение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Заказчик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Служба безопасности соревнований и </w:t>
            </w:r>
            <w:proofErr w:type="spellStart"/>
            <w:r w:rsidRPr="00350C33">
              <w:rPr>
                <w:lang w:val="ru-RU"/>
              </w:rPr>
              <w:t>интегрити</w:t>
            </w:r>
            <w:proofErr w:type="spellEnd"/>
            <w:r w:rsidRPr="00350C33">
              <w:rPr>
                <w:lang w:val="ru-RU"/>
              </w:rPr>
              <w:t xml:space="preserve"> КФФ.</w:t>
            </w:r>
          </w:p>
        </w:tc>
      </w:tr>
      <w:tr w:rsidR="003D439E" w:rsidRPr="00350C3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Планируемая сумма закупа (без учета НДС)</w:t>
            </w:r>
          </w:p>
        </w:tc>
        <w:tc>
          <w:tcPr>
            <w:tcW w:w="7370" w:type="dxa"/>
          </w:tcPr>
          <w:p w:rsidR="003D439E" w:rsidRPr="00350C33" w:rsidRDefault="00B36163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="00CB2DE5">
              <w:rPr>
                <w:lang w:val="ru-RU"/>
              </w:rPr>
              <w:t> 000 000 тенге без учета НДС.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t>Наименование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товара</w:t>
            </w:r>
            <w:proofErr w:type="spellEnd"/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Оборудование системы контроля и управления доступом (СКУД) для административного здания КФФ с монтажом, настройкой и вводом в эксплуатацию.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Общие требования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Оборудование и программное обеспечение должны обеспечивать построение единой системы контроля и управления доступом для административного здания КФФ.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Требования настоящей технической спецификации являются минимальными. Допускается поставка эквивалентного либо более совершенного оборудования при условии полного соответствия функциональному назначению, совместимости компонентов, надежной работы системы и соблюдения гарантийных обязательств.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Не допускается поставка бывшего в употреблении, восстановленного, поврежденного, контрафактного оборудования или программного обеспечения.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Все предлагаемые компоненты должны быть совместимы между собой, обеспечивать централизованное администрирование, передачу событий в режиме реального времени и возможность последующего расширения системы.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При наличии в технической спецификации конкретных числовых параметров допускается эквивалентное решение, не ухудшающее функциональные, эксплуатационные и качественные характеристики закупаемой системы, если иное прямо не обусловлено требованиями безопасности или условиями монтажа на объекте.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1. Биометрический терминал контроля доступа - не менее 4 шт.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назначение: идентификация пользователей и управление доступом на контролируемые точки прохода;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поддерживаемые способы идентификации: распознавание лица и/или иная биометрическая идентификация, бесконтактная карта, при необходимости пароль или их комбинация;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наличие защиты от подделки биометрических данных или аналогичной технологии подтверждения живого присутствия;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дисплей: цветной сенсорный, диагональ не менее 4,3 дюйма;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камеры: не менее 2 камер, разрешение не ниже 2 </w:t>
            </w:r>
            <w:proofErr w:type="spellStart"/>
            <w:r w:rsidRPr="00350C33">
              <w:rPr>
                <w:lang w:val="ru-RU"/>
              </w:rPr>
              <w:t>Мп</w:t>
            </w:r>
            <w:proofErr w:type="spellEnd"/>
            <w:r w:rsidRPr="00350C33">
              <w:rPr>
                <w:lang w:val="ru-RU"/>
              </w:rPr>
              <w:t xml:space="preserve"> каждая либо эквивалентное решение, обеспечивающее устойчивое распознавание;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память: не менее 3 000 пользователей/лиц, не менее 3 000 карт, не менее 150 000 событий;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тип карт: </w:t>
            </w:r>
            <w:r>
              <w:t>Mifare</w:t>
            </w:r>
            <w:r w:rsidRPr="00350C33">
              <w:rPr>
                <w:lang w:val="ru-RU"/>
              </w:rPr>
              <w:t xml:space="preserve"> 13,56 МГц либо эквивалентный распространенный стандарт, совместимый с предлагаемой системой;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интерфейсы: </w:t>
            </w:r>
            <w:r>
              <w:t>Ethernet</w:t>
            </w:r>
            <w:r w:rsidRPr="00350C33">
              <w:rPr>
                <w:lang w:val="ru-RU"/>
              </w:rPr>
              <w:t xml:space="preserve"> </w:t>
            </w:r>
            <w:r>
              <w:t>RJ</w:t>
            </w:r>
            <w:r w:rsidRPr="00350C33">
              <w:rPr>
                <w:lang w:val="ru-RU"/>
              </w:rPr>
              <w:t xml:space="preserve">45, релейный выход, </w:t>
            </w:r>
            <w:r>
              <w:t>USB</w:t>
            </w:r>
            <w:r w:rsidRPr="00350C33">
              <w:rPr>
                <w:lang w:val="ru-RU"/>
              </w:rPr>
              <w:t xml:space="preserve">, </w:t>
            </w:r>
            <w:r>
              <w:t>Wiegand</w:t>
            </w:r>
            <w:r w:rsidRPr="00350C33">
              <w:rPr>
                <w:lang w:val="ru-RU"/>
              </w:rPr>
              <w:t xml:space="preserve"> или </w:t>
            </w:r>
            <w:r>
              <w:t>RS</w:t>
            </w:r>
            <w:r w:rsidRPr="00350C33">
              <w:rPr>
                <w:lang w:val="ru-RU"/>
              </w:rPr>
              <w:t>-485 либо иные интерфейсы, обеспечивающие подключение к контроллерам и программному обеспечению СКУД;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наличие входа кнопки выхода, входа датчика двери, датчика вскрытия/демонтажа либо эквивалентных средств контроля;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питание: 12-24 </w:t>
            </w:r>
            <w:proofErr w:type="gramStart"/>
            <w:r w:rsidRPr="00350C33">
              <w:rPr>
                <w:lang w:val="ru-RU"/>
              </w:rPr>
              <w:t>В</w:t>
            </w:r>
            <w:proofErr w:type="gramEnd"/>
            <w:r w:rsidRPr="00350C33">
              <w:rPr>
                <w:lang w:val="ru-RU"/>
              </w:rPr>
              <w:t xml:space="preserve"> </w:t>
            </w:r>
            <w:r>
              <w:t>DC</w:t>
            </w:r>
            <w:r w:rsidRPr="00350C33">
              <w:rPr>
                <w:lang w:val="ru-RU"/>
              </w:rPr>
              <w:t xml:space="preserve"> либо питание, совместимое с предлагаемой системой;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степень защиты для уличного исполнения: не ниже </w:t>
            </w:r>
            <w:r>
              <w:t>IP</w:t>
            </w:r>
            <w:r w:rsidRPr="00350C33">
              <w:rPr>
                <w:lang w:val="ru-RU"/>
              </w:rPr>
              <w:t>65 либо использование защитных аксессуаров, обеспечивающих эксплуатацию в условиях места установки;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диапазон рабочих температур для уличного размещения: не хуже от -30 °</w:t>
            </w:r>
            <w:r>
              <w:t>C</w:t>
            </w:r>
            <w:r w:rsidRPr="00350C33">
              <w:rPr>
                <w:lang w:val="ru-RU"/>
              </w:rPr>
              <w:t xml:space="preserve"> до +50 °</w:t>
            </w:r>
            <w:r>
              <w:t>C</w:t>
            </w:r>
            <w:r w:rsidRPr="00350C33">
              <w:rPr>
                <w:lang w:val="ru-RU"/>
              </w:rPr>
              <w:t xml:space="preserve"> либо иной диапазон, достаточный для условий эксплуатации в г. Астана;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комплектация: настенные/поворотные кронштейны для терминалов - не менее 2 шт., защитные козырьки для уличных терминалов - не менее 2 шт., совместимые с предлагаемыми терминалами.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2. Турникет распашной - 1 комплект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тип: распашной турникет, состоящий из правой и левой секций, предназначенный для организации санкционированного прохода;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материал створок: акриловое стекло, закаленное стекло либо иной безопасный </w:t>
            </w:r>
            <w:r w:rsidRPr="00350C33">
              <w:rPr>
                <w:lang w:val="ru-RU"/>
              </w:rPr>
              <w:lastRenderedPageBreak/>
              <w:t>прозрачный материал, пригодный для эксплуатации в зоне прохода;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корпус: нержавеющая сталь либо сталь с антикоррозийным покрытием;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функция </w:t>
            </w:r>
            <w:proofErr w:type="spellStart"/>
            <w:r w:rsidRPr="00350C33">
              <w:rPr>
                <w:lang w:val="ru-RU"/>
              </w:rPr>
              <w:t>антипаника</w:t>
            </w:r>
            <w:proofErr w:type="spellEnd"/>
            <w:r w:rsidRPr="00350C33">
              <w:rPr>
                <w:lang w:val="ru-RU"/>
              </w:rPr>
              <w:t>: автоматическое открытие створок при отключении питания, срабатывании пожарной сигнализации или по команде оператора;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пропускная способность: не менее 20 человек в минуту в штатном режиме, с возможностью настройки режимов прохода;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ширина прохода: не менее 650 мм, с возможностью организации расширенного прохода при конструктивной необходимости;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направление прохода: двунаправленный режим;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наличие световой индикации статуса прохода и направления движения;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наличие датчиков контроля прохода и предотвращения прохода «хвостом» либо эквивалентных средств контроля;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интерфейсы: </w:t>
            </w:r>
            <w:r>
              <w:t>Ethernet</w:t>
            </w:r>
            <w:r w:rsidRPr="00350C33">
              <w:rPr>
                <w:lang w:val="ru-RU"/>
              </w:rPr>
              <w:t xml:space="preserve"> и/или </w:t>
            </w:r>
            <w:r>
              <w:t>RS</w:t>
            </w:r>
            <w:r w:rsidRPr="00350C33">
              <w:rPr>
                <w:lang w:val="ru-RU"/>
              </w:rPr>
              <w:t>-485, релейные входы/выходы, входы тревоги, кнопка выхода либо иные интерфейсы, обеспечивающие интеграцию с СКУД;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привод: электромеханический, рассчитанный на интенсивную эксплуатацию;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ресурс наработки: не менее 3 000 000 циклов;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питание: от сети 220 </w:t>
            </w:r>
            <w:proofErr w:type="gramStart"/>
            <w:r w:rsidRPr="00350C33">
              <w:rPr>
                <w:lang w:val="ru-RU"/>
              </w:rPr>
              <w:t>В</w:t>
            </w:r>
            <w:proofErr w:type="gramEnd"/>
            <w:r w:rsidRPr="00350C33">
              <w:rPr>
                <w:lang w:val="ru-RU"/>
              </w:rPr>
              <w:t xml:space="preserve"> </w:t>
            </w:r>
            <w:r>
              <w:t>AC</w:t>
            </w:r>
            <w:r w:rsidRPr="00350C33">
              <w:rPr>
                <w:lang w:val="ru-RU"/>
              </w:rPr>
              <w:t xml:space="preserve"> либо через штатный блок питания, предусмотренный производителем;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комплектация: необходимые крепления и монтажные элементы для установки терминалов на турникет, совместимые с предлагаемым оборудованием.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3. Пульт управления к турникету - 1 комплект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назначение: ручное дистанционное управление турникетом с поста охраны;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функции: открытие/закрытие прохода, разблокировка, переключение режима прохода при необходимости;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тип подключения: проводной или радиоуправляемый пульт с релейным выходом либо эквивалентное решение, совместимое с турникетом;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комплект поставки: пульт управления и приемный/коммутационный модуль при необходимости.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4. Электромагнитный замок - не менее 2 шт.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тип: электромагнитный накладной замок;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сила удержания: не менее 280 кг;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питание: 12 В / 24 </w:t>
            </w:r>
            <w:proofErr w:type="gramStart"/>
            <w:r w:rsidRPr="00350C33">
              <w:rPr>
                <w:lang w:val="ru-RU"/>
              </w:rPr>
              <w:t>В</w:t>
            </w:r>
            <w:proofErr w:type="gramEnd"/>
            <w:r w:rsidRPr="00350C33">
              <w:rPr>
                <w:lang w:val="ru-RU"/>
              </w:rPr>
              <w:t xml:space="preserve"> </w:t>
            </w:r>
            <w:r>
              <w:t>DC</w:t>
            </w:r>
            <w:r w:rsidRPr="00350C33">
              <w:rPr>
                <w:lang w:val="ru-RU"/>
              </w:rPr>
              <w:t xml:space="preserve"> либо совместимое с предлагаемой системой;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наличие индикации состояния либо возможность контроля состояния через СКУД;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комплектация: </w:t>
            </w:r>
            <w:r>
              <w:t>L</w:t>
            </w:r>
            <w:r w:rsidRPr="00350C33">
              <w:rPr>
                <w:lang w:val="ru-RU"/>
              </w:rPr>
              <w:t>-образные кронштейны - не менее 2 шт., накладные металлические кнопки выхода - не менее 2 шт.;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кнопка выхода: контакт </w:t>
            </w:r>
            <w:r>
              <w:t>NO</w:t>
            </w:r>
            <w:r w:rsidRPr="00350C33">
              <w:rPr>
                <w:lang w:val="ru-RU"/>
              </w:rPr>
              <w:t>/</w:t>
            </w:r>
            <w:r>
              <w:t>COM</w:t>
            </w:r>
            <w:r w:rsidRPr="00350C33">
              <w:rPr>
                <w:lang w:val="ru-RU"/>
              </w:rPr>
              <w:t xml:space="preserve"> или эквивалентный, питание 12-36 </w:t>
            </w:r>
            <w:proofErr w:type="gramStart"/>
            <w:r w:rsidRPr="00350C33">
              <w:rPr>
                <w:lang w:val="ru-RU"/>
              </w:rPr>
              <w:t>В</w:t>
            </w:r>
            <w:proofErr w:type="gramEnd"/>
            <w:r w:rsidRPr="00350C33">
              <w:rPr>
                <w:lang w:val="ru-RU"/>
              </w:rPr>
              <w:t xml:space="preserve"> </w:t>
            </w:r>
            <w:r>
              <w:t>DC</w:t>
            </w:r>
            <w:r w:rsidRPr="00350C33">
              <w:rPr>
                <w:lang w:val="ru-RU"/>
              </w:rPr>
              <w:t xml:space="preserve"> при наличии световой индикации.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5. Блок питания с аккумулятором - не менее 2 комплектов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тип: резервируемый источник питания для оборудования СКУД;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выходное напряжение: 12-13,8 </w:t>
            </w:r>
            <w:proofErr w:type="gramStart"/>
            <w:r w:rsidRPr="00350C33">
              <w:rPr>
                <w:lang w:val="ru-RU"/>
              </w:rPr>
              <w:t>В</w:t>
            </w:r>
            <w:proofErr w:type="gramEnd"/>
            <w:r w:rsidRPr="00350C33">
              <w:rPr>
                <w:lang w:val="ru-RU"/>
              </w:rPr>
              <w:t xml:space="preserve"> </w:t>
            </w:r>
            <w:r>
              <w:t>DC</w:t>
            </w:r>
            <w:r w:rsidRPr="00350C33">
              <w:rPr>
                <w:lang w:val="ru-RU"/>
              </w:rPr>
              <w:t xml:space="preserve"> либо иное, совместимое с оборудованием;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выходной ток: не менее 5 </w:t>
            </w:r>
            <w:proofErr w:type="gramStart"/>
            <w:r w:rsidRPr="00350C33">
              <w:rPr>
                <w:lang w:val="ru-RU"/>
              </w:rPr>
              <w:t>А</w:t>
            </w:r>
            <w:proofErr w:type="gramEnd"/>
            <w:r w:rsidRPr="00350C33">
              <w:rPr>
                <w:lang w:val="ru-RU"/>
              </w:rPr>
              <w:t>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наличие защиты от перегрузки, короткого замыкания, неправильной полярности, избыточного заряда и полного разряда аккумулятора;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комплектация: аккумуляторная батарея 12 </w:t>
            </w:r>
            <w:proofErr w:type="gramStart"/>
            <w:r w:rsidRPr="00350C33">
              <w:rPr>
                <w:lang w:val="ru-RU"/>
              </w:rPr>
              <w:t>В</w:t>
            </w:r>
            <w:proofErr w:type="gramEnd"/>
            <w:r w:rsidRPr="00350C33">
              <w:rPr>
                <w:lang w:val="ru-RU"/>
              </w:rPr>
              <w:t xml:space="preserve"> емкостью не менее 7 </w:t>
            </w:r>
            <w:proofErr w:type="spellStart"/>
            <w:r w:rsidRPr="00350C33">
              <w:rPr>
                <w:lang w:val="ru-RU"/>
              </w:rPr>
              <w:t>Ач</w:t>
            </w:r>
            <w:proofErr w:type="spellEnd"/>
            <w:r w:rsidRPr="00350C33">
              <w:rPr>
                <w:lang w:val="ru-RU"/>
              </w:rPr>
              <w:t xml:space="preserve"> либо эквивалентная батарея, обеспечивающая резервное питание подключенной нагрузки.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 xml:space="preserve">6. </w:t>
            </w:r>
            <w:proofErr w:type="gramStart"/>
            <w:r w:rsidRPr="00350C33">
              <w:rPr>
                <w:b/>
                <w:lang w:val="ru-RU"/>
              </w:rPr>
              <w:t>Коммутатор</w:t>
            </w:r>
            <w:proofErr w:type="gramEnd"/>
            <w:r w:rsidRPr="00350C33">
              <w:rPr>
                <w:b/>
                <w:lang w:val="ru-RU"/>
              </w:rPr>
              <w:t xml:space="preserve"> управляемый 8 портов - 1 шт.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тип: управляемый сетевой коммутатор;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порты: не менее 8 портов </w:t>
            </w:r>
            <w:r>
              <w:t>RJ</w:t>
            </w:r>
            <w:r w:rsidRPr="00350C33">
              <w:rPr>
                <w:lang w:val="ru-RU"/>
              </w:rPr>
              <w:t>45 10/100/1000 Мбит/с;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пропускная способность: не менее 16 Гбит/с;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поддержка </w:t>
            </w:r>
            <w:r>
              <w:t>VLAN</w:t>
            </w:r>
            <w:r w:rsidRPr="00350C33">
              <w:rPr>
                <w:lang w:val="ru-RU"/>
              </w:rPr>
              <w:t xml:space="preserve">, </w:t>
            </w:r>
            <w:r>
              <w:t>STP</w:t>
            </w:r>
            <w:r w:rsidRPr="00350C33">
              <w:rPr>
                <w:lang w:val="ru-RU"/>
              </w:rPr>
              <w:t>/</w:t>
            </w:r>
            <w:r>
              <w:t>RSTP</w:t>
            </w:r>
            <w:r w:rsidRPr="00350C33">
              <w:rPr>
                <w:lang w:val="ru-RU"/>
              </w:rPr>
              <w:t xml:space="preserve">, </w:t>
            </w:r>
            <w:r>
              <w:t>LLDP</w:t>
            </w:r>
            <w:r w:rsidRPr="00350C33">
              <w:rPr>
                <w:lang w:val="ru-RU"/>
              </w:rPr>
              <w:t xml:space="preserve">, </w:t>
            </w:r>
            <w:r>
              <w:t>DHCP</w:t>
            </w:r>
            <w:r w:rsidRPr="00350C33">
              <w:rPr>
                <w:lang w:val="ru-RU"/>
              </w:rPr>
              <w:t xml:space="preserve"> либо эквивалентного функционала управления сетью;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защита от перенапряжения и стабильная работа в составе локальной сети СКУД.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7. АРМ оператора СКУД - 1 комплект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назначение: мониторинг событий, администрирование пользователей, прав доступа и отчетов;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процессор: не менее 6 ядер / 12 потоков или эквивалент по производительности;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оперативная память: не менее 16 ГБ;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накопитель: </w:t>
            </w:r>
            <w:r>
              <w:t>SSD</w:t>
            </w:r>
            <w:r w:rsidRPr="00350C33">
              <w:rPr>
                <w:lang w:val="ru-RU"/>
              </w:rPr>
              <w:t xml:space="preserve"> не менее 1 ТБ;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видеоподсистема: дискретная видеокарта не менее 2 ГБ или встроенная/дискретная видеоподсистема, обеспечивающая стабильную работу ПО и монитора;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комплектация: монитор не менее 23,8 дюйма </w:t>
            </w:r>
            <w:r>
              <w:t>Full</w:t>
            </w:r>
            <w:r w:rsidRPr="00350C33">
              <w:rPr>
                <w:lang w:val="ru-RU"/>
              </w:rPr>
              <w:t xml:space="preserve"> </w:t>
            </w:r>
            <w:r>
              <w:t>HD</w:t>
            </w:r>
            <w:r w:rsidRPr="00350C33">
              <w:rPr>
                <w:lang w:val="ru-RU"/>
              </w:rPr>
              <w:t>, клавиатура, мышь, лицензионная операционная система, ИБП не менее 600 ВА.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lastRenderedPageBreak/>
              <w:t>8. Ограждение высотой 1 м общей длиной не менее 8 м - 1 комплект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назначение: организация направленного движения посетителей и исключение обхода зоны турникета;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материал: нержавеющая сталь либо сталь с порошковым антикоррозийным покрытием;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общая длина: не менее 8 м;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комплектация: распашная калитка шириной не менее 0,9 м, высотой 1 м, с щеколдой и доводчиком.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9. Кабельная продукция и расходные материалы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поставщик обязан предусмотреть весь объем кабельной продукции и расходных материалов, необходимых для монтажа и ввода системы в эксплуатацию;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ориентировочный состав: </w:t>
            </w:r>
            <w:r>
              <w:t>UTP</w:t>
            </w:r>
            <w:r w:rsidRPr="00350C33">
              <w:rPr>
                <w:lang w:val="ru-RU"/>
              </w:rPr>
              <w:t xml:space="preserve"> </w:t>
            </w:r>
            <w:r>
              <w:t>Cat</w:t>
            </w:r>
            <w:r w:rsidRPr="00350C33">
              <w:rPr>
                <w:lang w:val="ru-RU"/>
              </w:rPr>
              <w:t>.5</w:t>
            </w:r>
            <w:r>
              <w:t>e</w:t>
            </w:r>
            <w:r w:rsidRPr="00350C33">
              <w:rPr>
                <w:lang w:val="ru-RU"/>
              </w:rPr>
              <w:t xml:space="preserve"> </w:t>
            </w:r>
            <w:r>
              <w:t>indoor</w:t>
            </w:r>
            <w:r w:rsidRPr="00350C33">
              <w:rPr>
                <w:lang w:val="ru-RU"/>
              </w:rPr>
              <w:t xml:space="preserve"> или выше, ВВГнг 3х1,5, ШВВП, коннекторы, розетки, автоматические выключатели, </w:t>
            </w:r>
            <w:r>
              <w:t>DIN</w:t>
            </w:r>
            <w:r w:rsidRPr="00350C33">
              <w:rPr>
                <w:lang w:val="ru-RU"/>
              </w:rPr>
              <w:t xml:space="preserve">-рейки, </w:t>
            </w:r>
            <w:proofErr w:type="spellStart"/>
            <w:r w:rsidRPr="00350C33">
              <w:rPr>
                <w:lang w:val="ru-RU"/>
              </w:rPr>
              <w:t>гофротруба</w:t>
            </w:r>
            <w:proofErr w:type="spellEnd"/>
            <w:r w:rsidRPr="00350C33">
              <w:rPr>
                <w:lang w:val="ru-RU"/>
              </w:rPr>
              <w:t>, кабель-канал, ПНД труба, крепежные и иные расходные материалы;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окончательный объем кабельной продукции определяется по результатам обследования объекта и согласованного с Заказчиком плана размещения оборудования.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10. Программное обеспечение СКУД - 1 комплект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тип: лицензионное программное обеспечение для централизованного управления СКУД;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архитектура: клиент-серверная, веб-ориентированная или иная архитектура, обеспечивающая централизованное администрирование и удобный доступ операторов;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функции: управление пользователями, правами доступа, расписаниями, точками прохода, журналами событий, тревогами и отчетами;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поддержка не менее 16 дверей/точек доступа, не менее 3 000 пользователей, не менее 15 000 карт доступа;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наличие разграничения прав пользователей по ролям и уровням доступа;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наличие открытого, документированного или иного штатного интерфейса интеграции/</w:t>
            </w:r>
            <w:r>
              <w:t>API</w:t>
            </w:r>
            <w:r w:rsidRPr="00350C33">
              <w:rPr>
                <w:lang w:val="ru-RU"/>
              </w:rPr>
              <w:t xml:space="preserve"> для последующего развития системы;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совместимость с предлагаемыми терминалами, турникетом, замками, контроллерами и иными компонентами СКУД;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возможность получения событий в режиме реального времени.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lastRenderedPageBreak/>
              <w:t>Кол-во</w:t>
            </w:r>
            <w:proofErr w:type="spellEnd"/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1 комплект оборудования СКУД согласно настоящей технической спецификации, включая поставку, монтаж, настройку, пусконаладочные работы, ввод в эксплуатацию и передачу Заказчику исполнительной/эксплуатационной документации.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t>Год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выпуска</w:t>
            </w:r>
            <w:proofErr w:type="spellEnd"/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Не ранее 2024 года. Оборудование должно быть новым, не бывшим в эксплуатации, не восстановленным и не снятым с производства на дату подачи заявки.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t>Гарантийный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срок</w:t>
            </w:r>
            <w:proofErr w:type="spellEnd"/>
            <w:r>
              <w:rPr>
                <w:b/>
              </w:rPr>
              <w:t xml:space="preserve"> (в </w:t>
            </w:r>
            <w:proofErr w:type="spellStart"/>
            <w:r>
              <w:rPr>
                <w:b/>
              </w:rPr>
              <w:t>месяцах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Не менее 12 месяцев на поставляемое оборудование, программное обеспечение в пределах лицензионных условий, выполненные монтажные и пусконаладочные работы. Гарантийный срок исчисляется с даты подписания акта приема-передачи/акта выполненных работ.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t>Сроки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поставки</w:t>
            </w:r>
            <w:proofErr w:type="spellEnd"/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Не более 25 рабочих дней с даты подписания договора, если иной срок не будет установлен договором или закупочной документацией.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Требование к поставщику (при необходимости)</w:t>
            </w:r>
          </w:p>
        </w:tc>
        <w:tc>
          <w:tcPr>
            <w:tcW w:w="7370" w:type="dxa"/>
          </w:tcPr>
          <w:p w:rsidR="003D439E" w:rsidRPr="00350C33" w:rsidRDefault="00347448" w:rsidP="00DB643E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Поставщик обязан обеспечить наличие квалифицированных специалистов для монтажа, настройки, </w:t>
            </w:r>
            <w:proofErr w:type="spellStart"/>
            <w:r w:rsidRPr="00350C33">
              <w:rPr>
                <w:lang w:val="ru-RU"/>
              </w:rPr>
              <w:t>пусконаладки</w:t>
            </w:r>
            <w:proofErr w:type="spellEnd"/>
            <w:r w:rsidRPr="00350C33">
              <w:rPr>
                <w:lang w:val="ru-RU"/>
              </w:rPr>
              <w:t xml:space="preserve"> и технического сопровождения СКУД. Подтверждением квалификации могут являться дипломы, удостоверения, сертификаты обучения, сведения об опыте выполнения аналогичных работ, письма производителей/дистрибьюторов либо иные документы, подтверждающие компетентность персонала.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t>Эскиз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фото</w:t>
            </w:r>
            <w:proofErr w:type="spellEnd"/>
            <w:r>
              <w:rPr>
                <w:b/>
              </w:rPr>
              <w:t>) (</w:t>
            </w:r>
            <w:proofErr w:type="spellStart"/>
            <w:r>
              <w:rPr>
                <w:b/>
              </w:rPr>
              <w:t>при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необходимости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Не требуется. При необходимости Поставщик предоставляет схемы размещения оборудования, монтажные схемы, каталожные изображения или технические паспорта предлагаемого оборудования в составе заявки либо до начала монтажа.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t>Место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поставки</w:t>
            </w:r>
            <w:proofErr w:type="spellEnd"/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Республика Казахстан, г. Астана, пр. Б. Момышулы, зд. 5А, административное здание КФФ.</w:t>
            </w:r>
          </w:p>
        </w:tc>
      </w:tr>
      <w:tr w:rsidR="003D439E" w:rsidRPr="00B36163" w:rsidTr="00347448">
        <w:trPr>
          <w:jc w:val="center"/>
        </w:trPr>
        <w:tc>
          <w:tcPr>
            <w:tcW w:w="2948" w:type="dxa"/>
            <w:shd w:val="clear" w:color="auto" w:fill="auto"/>
          </w:tcPr>
          <w:p w:rsidR="003D439E" w:rsidRDefault="00347448">
            <w:pPr>
              <w:spacing w:after="0" w:line="240" w:lineRule="auto"/>
            </w:pPr>
            <w:proofErr w:type="spellStart"/>
            <w:r>
              <w:rPr>
                <w:b/>
              </w:rPr>
              <w:t>Иные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требования</w:t>
            </w:r>
            <w:proofErr w:type="spellEnd"/>
          </w:p>
        </w:tc>
        <w:tc>
          <w:tcPr>
            <w:tcW w:w="7370" w:type="dxa"/>
          </w:tcPr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1. Требования к заявке потенциального поставщика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техническая спецификация предлагаемого оборудования с указанием марки, модели, страны происхождения и основных характеристик;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документы, подтверждающие легальность происхождения оборудования и программного обеспечения: сертификаты, декларации, письма производителя, официального дистрибьютора, поставщика, правообладателя либо иные подтверждающие документы;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сведения о гарантийной и сервисной поддержке;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подтверждение совместимости всех основных компонентов системы;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предварительная схема или описание предлагаемого технического решения при необходимости.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2. Требования к монтажу и вводу в эксплуатацию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перед началом работ Поставщик обязан провести обследование объекта и согласовать с Заказчиком план размещения оборудования;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монтаж должен выполняться с соблюдением требований электробезопасности, пожарной безопасности, охраны труда и правил прокладки слаботочных/электрических сетей;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 xml:space="preserve">• кабельные линии должны прокладываться в </w:t>
            </w:r>
            <w:proofErr w:type="spellStart"/>
            <w:r w:rsidRPr="00350C33">
              <w:rPr>
                <w:lang w:val="ru-RU"/>
              </w:rPr>
              <w:t>гофротрубе</w:t>
            </w:r>
            <w:proofErr w:type="spellEnd"/>
            <w:r w:rsidRPr="00350C33">
              <w:rPr>
                <w:lang w:val="ru-RU"/>
              </w:rPr>
              <w:t>, кабель-канале, ПНД трубе или иным безопасным способом с учетом условий объекта;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после завершения монтажа Поставщик обязан выполнить настройку оборудования и ПО, тестирование всех точек прохода, проверку режимов доступа, проверку аварийного открытия и резервного питания;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Поставщик обязан провести краткий инструктаж ответственных работников Заказчика по базовой эксплуатации системы.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b/>
                <w:lang w:val="ru-RU"/>
              </w:rPr>
              <w:t>3. Требования к совместимости и развитию системы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система должна обеспечивать централизованное управление точками доступа и получение событий в режиме реального времени;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должна быть предусмотрена возможность последующего расширения количества пользователей, карт, событий и точек доступа;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допускается поставка оборудования одного или нескольких производителей при условии полной совместимости компонентов, стабильной работы системы и единой ответственности Поставщика за результат;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не допускается требование использования конкретного товарного знака, модели, фирменного протокола или закрытой экосистемы без возможности предложения эквивалентного решения.</w:t>
            </w:r>
          </w:p>
          <w:p w:rsidR="003D439E" w:rsidRPr="00350C33" w:rsidRDefault="00DB643E">
            <w:pPr>
              <w:spacing w:after="0" w:line="240" w:lineRule="auto"/>
              <w:rPr>
                <w:lang w:val="ru-RU"/>
              </w:rPr>
            </w:pPr>
            <w:r>
              <w:rPr>
                <w:b/>
                <w:lang w:val="ru-RU"/>
              </w:rPr>
              <w:t>4</w:t>
            </w:r>
            <w:r w:rsidR="00347448" w:rsidRPr="00350C33">
              <w:rPr>
                <w:b/>
                <w:lang w:val="ru-RU"/>
              </w:rPr>
              <w:t>. Антидискриминационная оговорка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все указанные характеристики должны рассматриваться как минимальные требования к функциональности, качеству, надежности и совместимости;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при наличии в технических характеристиках параметров, которые могут совпадать с характеристиками конкретного производителя, допускается предложение эквивалентного оборудования, не ухудшающего назначение и эксплуатационные свойства системы;</w:t>
            </w:r>
          </w:p>
          <w:p w:rsidR="003D439E" w:rsidRPr="00350C33" w:rsidRDefault="00347448">
            <w:pPr>
              <w:spacing w:after="0" w:line="240" w:lineRule="auto"/>
              <w:rPr>
                <w:lang w:val="ru-RU"/>
              </w:rPr>
            </w:pPr>
            <w:r w:rsidRPr="00350C33">
              <w:rPr>
                <w:lang w:val="ru-RU"/>
              </w:rPr>
              <w:t>• оценка предложений должна осуществляться по совокупности функционального соответствия, совместимости, качества, гарантийной поддержки, опыта Поставщика и экономической эффективности.</w:t>
            </w:r>
          </w:p>
        </w:tc>
      </w:tr>
    </w:tbl>
    <w:p w:rsidR="00347448" w:rsidRPr="0060221D" w:rsidRDefault="00347448">
      <w:pPr>
        <w:spacing w:before="360" w:after="0"/>
        <w:rPr>
          <w:b/>
          <w:sz w:val="24"/>
          <w:szCs w:val="24"/>
          <w:lang w:val="ru-RU"/>
        </w:rPr>
      </w:pPr>
    </w:p>
    <w:p w:rsidR="003D439E" w:rsidRPr="00347448" w:rsidRDefault="00347448">
      <w:pPr>
        <w:spacing w:before="360" w:after="0"/>
        <w:rPr>
          <w:b/>
          <w:sz w:val="24"/>
          <w:szCs w:val="24"/>
          <w:lang w:val="ru-RU"/>
        </w:rPr>
      </w:pPr>
      <w:proofErr w:type="spellStart"/>
      <w:r w:rsidRPr="00347448">
        <w:rPr>
          <w:b/>
          <w:sz w:val="24"/>
          <w:szCs w:val="24"/>
        </w:rPr>
        <w:t>Руководитель</w:t>
      </w:r>
      <w:proofErr w:type="spellEnd"/>
      <w:r w:rsidRPr="00347448">
        <w:rPr>
          <w:b/>
          <w:sz w:val="24"/>
          <w:szCs w:val="24"/>
        </w:rPr>
        <w:t xml:space="preserve"> </w:t>
      </w:r>
      <w:proofErr w:type="spellStart"/>
      <w:r w:rsidRPr="00347448">
        <w:rPr>
          <w:b/>
          <w:sz w:val="24"/>
          <w:szCs w:val="24"/>
          <w:lang w:val="ru-RU"/>
        </w:rPr>
        <w:t>СБСиИ</w:t>
      </w:r>
      <w:proofErr w:type="spellEnd"/>
      <w:r w:rsidRPr="00347448">
        <w:rPr>
          <w:b/>
          <w:sz w:val="24"/>
          <w:szCs w:val="24"/>
        </w:rPr>
        <w:t xml:space="preserve">                                   </w:t>
      </w:r>
      <w:r w:rsidRPr="00347448">
        <w:rPr>
          <w:b/>
          <w:sz w:val="24"/>
          <w:szCs w:val="24"/>
          <w:lang w:val="ru-RU"/>
        </w:rPr>
        <w:t xml:space="preserve">                                                                            </w:t>
      </w:r>
      <w:proofErr w:type="spellStart"/>
      <w:r w:rsidRPr="00347448">
        <w:rPr>
          <w:b/>
          <w:sz w:val="24"/>
          <w:szCs w:val="24"/>
          <w:lang w:val="ru-RU"/>
        </w:rPr>
        <w:t>Бутин</w:t>
      </w:r>
      <w:proofErr w:type="spellEnd"/>
      <w:r w:rsidRPr="00347448">
        <w:rPr>
          <w:b/>
          <w:sz w:val="24"/>
          <w:szCs w:val="24"/>
          <w:lang w:val="ru-RU"/>
        </w:rPr>
        <w:t xml:space="preserve"> А.</w:t>
      </w:r>
    </w:p>
    <w:sectPr w:rsidR="003D439E" w:rsidRPr="00347448" w:rsidSect="00034616">
      <w:pgSz w:w="11906" w:h="16838"/>
      <w:pgMar w:top="850" w:right="850" w:bottom="850" w:left="850" w:header="397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9285F"/>
    <w:rsid w:val="0015074B"/>
    <w:rsid w:val="0029639D"/>
    <w:rsid w:val="00326F90"/>
    <w:rsid w:val="00347448"/>
    <w:rsid w:val="00350C33"/>
    <w:rsid w:val="003D439E"/>
    <w:rsid w:val="0060221D"/>
    <w:rsid w:val="00AA1D8D"/>
    <w:rsid w:val="00B36163"/>
    <w:rsid w:val="00B47730"/>
    <w:rsid w:val="00CB0664"/>
    <w:rsid w:val="00CB2DE5"/>
    <w:rsid w:val="00DB643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715491F-4AC9-40D8-850F-5E73C2E85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DE6C4B-254F-4310-8339-F49110338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1985</Words>
  <Characters>11317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13276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Татенов Д.К.</cp:lastModifiedBy>
  <cp:revision>2</cp:revision>
  <dcterms:created xsi:type="dcterms:W3CDTF">2026-05-13T10:17:00Z</dcterms:created>
  <dcterms:modified xsi:type="dcterms:W3CDTF">2026-05-13T10:17:00Z</dcterms:modified>
  <cp:category/>
</cp:coreProperties>
</file>